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hanging="2"/>
        <w:rPr/>
      </w:pPr>
      <w:r w:rsidDel="00000000" w:rsidR="00000000" w:rsidRPr="00000000">
        <w:rPr>
          <w:rtl w:val="0"/>
        </w:rPr>
        <w:t xml:space="preserve">1 - BASE DE PREPARAÇÃO DAS DEMONSTRAÇÕES E DAS PRÁTICAS CONTÁBEIS </w:t>
      </w:r>
    </w:p>
    <w:p w:rsidR="00000000" w:rsidDel="00000000" w:rsidP="00000000" w:rsidRDefault="00000000" w:rsidRPr="00000000" w14:paraId="00000003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hanging="2"/>
        <w:rPr/>
      </w:pPr>
      <w:r w:rsidDel="00000000" w:rsidR="00000000" w:rsidRPr="00000000">
        <w:rPr>
          <w:rtl w:val="0"/>
        </w:rPr>
        <w:t xml:space="preserve">As Demonstrações Contábeis (DCON) da Superintendência do Desenvolvimento do Nordeste(Sudene) são elaboradas em consonância com os dispositivos da Lei nº 4.320/1964, do Decreto-Lei nº 200/1967, do Decreto nº 93872/1986, da Lei nº 10.180/2001 e da Lei Complementar nº 101/2000. Abrangem, também, as Normas Brasileiras de Contabilidade Aplicadas ao Setor Público (NBCASP) do Conselho Federal de contabilidade (CFC), o Manual de Contabilidade Aplicada ao Setor Público (MCASP) e o Manual SIAFI. As DCON são elaboradas a partir das informações constantes no SIAFI. As estruturas e a composição das DCON estão de acordo com as bases propostas pelas práticas contábeis brasileiras (doravante modelo PCASP). Dessa forma as DCON são compostas por: I - Balanço Patrimonial (BP); II - Demonstrações das Variações Patrimoniais (DVP); III- Balanço Orçamentário (BO); IV- Balanço Financeiro (BF); e V - Demonstrações dos Fluxos de Caixa (DFC).</w:t>
      </w:r>
    </w:p>
    <w:p w:rsidR="00000000" w:rsidDel="00000000" w:rsidP="00000000" w:rsidRDefault="00000000" w:rsidRPr="00000000" w14:paraId="00000005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hanging="2"/>
        <w:rPr/>
      </w:pPr>
      <w:r w:rsidDel="00000000" w:rsidR="00000000" w:rsidRPr="00000000">
        <w:rPr>
          <w:rtl w:val="0"/>
        </w:rPr>
        <w:t xml:space="preserve">2 - RESUMO DOS PRINCIPAIS CRITÉRIOS E POLÍTICAS CONTÁBEIS: </w:t>
      </w:r>
    </w:p>
    <w:p w:rsidR="00000000" w:rsidDel="00000000" w:rsidP="00000000" w:rsidRDefault="00000000" w:rsidRPr="00000000" w14:paraId="00000007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hanging="2"/>
        <w:rPr/>
      </w:pPr>
      <w:r w:rsidDel="00000000" w:rsidR="00000000" w:rsidRPr="00000000">
        <w:rPr>
          <w:rtl w:val="0"/>
        </w:rPr>
        <w:t xml:space="preserve">2.1 - Moeda Funcional: A moeda funcional utilizada é o Real (R$). As DCON do Sudene não apresentam nenhum registro em moeda estrangeira. </w:t>
      </w:r>
    </w:p>
    <w:p w:rsidR="00000000" w:rsidDel="00000000" w:rsidP="00000000" w:rsidRDefault="00000000" w:rsidRPr="00000000" w14:paraId="00000009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hanging="2"/>
        <w:rPr/>
      </w:pPr>
      <w:r w:rsidDel="00000000" w:rsidR="00000000" w:rsidRPr="00000000">
        <w:rPr>
          <w:rtl w:val="0"/>
        </w:rPr>
        <w:t xml:space="preserve">2.2 - Imobilizado: O imobilizado é composto pelos bens móveis e imóveis. É reconhecido inicialmente com base no valor de aquisição, construção ou produção. Após o reconhecimento inicial, ficam sujeitos à depreciação, amortização ou exaustão (quando tiverem vida útil definida), bem como à redução ao valor recuperável e à reavaliação. Os gastos posteriores à aquisição, construção ou produção são incorporados ao valor do imobilizado desde que tais gastos aumentem a vida útil do bem e sejam capazes de gerar benefícios econômicos futuros. Se os gastos não gerarem tais benefícios, eles são reconhecidos diretamente como variações patrimoniais diminutivas (VPD) do período. O Sudene não possui Imóveis registrados. </w:t>
      </w:r>
    </w:p>
    <w:p w:rsidR="00000000" w:rsidDel="00000000" w:rsidP="00000000" w:rsidRDefault="00000000" w:rsidRPr="00000000" w14:paraId="0000000B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hanging="2"/>
        <w:rPr/>
      </w:pPr>
      <w:r w:rsidDel="00000000" w:rsidR="00000000" w:rsidRPr="00000000">
        <w:rPr>
          <w:rtl w:val="0"/>
        </w:rPr>
        <w:t xml:space="preserve">2.3 - Intangível: Os direitos que tenham por objeto bens incorpóreos, destinados à manutenção da atividade pública ou exercidos com essa finalidade, são mensurados ou avaliados com base no valor de aquisição ou de produção, deduzido o saldo da respectiva conta de amortização acumulada e o montante acumulado de quaisquer perdas do valor que tenham sofrido ao longo de sua vida útil por redução ao valor recuperável (impairment). </w:t>
      </w:r>
    </w:p>
    <w:p w:rsidR="00000000" w:rsidDel="00000000" w:rsidP="00000000" w:rsidRDefault="00000000" w:rsidRPr="00000000" w14:paraId="0000000D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hanging="2"/>
        <w:rPr/>
      </w:pPr>
      <w:r w:rsidDel="00000000" w:rsidR="00000000" w:rsidRPr="00000000">
        <w:rPr>
          <w:rtl w:val="0"/>
        </w:rPr>
        <w:t xml:space="preserve">2.4 - Passivo Circulante: As obrigações do Sudene são evidenciadas por valores conhecidos ou calculáveis, acrescidos, quando aplicável, dos correspondentes encargos das variações monetárias e cambiais ocorridas até a data da liquidação. O passivo circulante apresenta a seguinte divisão: </w:t>
      </w:r>
    </w:p>
    <w:p w:rsidR="00000000" w:rsidDel="00000000" w:rsidP="00000000" w:rsidRDefault="00000000" w:rsidRPr="00000000" w14:paraId="0000000F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hanging="2"/>
        <w:rPr/>
      </w:pPr>
      <w:r w:rsidDel="00000000" w:rsidR="00000000" w:rsidRPr="00000000">
        <w:rPr>
          <w:rtl w:val="0"/>
        </w:rPr>
        <w:t xml:space="preserve">2.4.1 - Obrigações trabalhistas, previdenciárias e assistenciais; </w:t>
      </w:r>
    </w:p>
    <w:p w:rsidR="00000000" w:rsidDel="00000000" w:rsidP="00000000" w:rsidRDefault="00000000" w:rsidRPr="00000000" w14:paraId="00000011">
      <w:pPr>
        <w:ind w:left="0" w:hanging="2"/>
        <w:rPr/>
      </w:pPr>
      <w:r w:rsidDel="00000000" w:rsidR="00000000" w:rsidRPr="00000000">
        <w:rPr>
          <w:rtl w:val="0"/>
        </w:rPr>
        <w:t xml:space="preserve">2.4.2 - Fornecedores e Contas a Pagar; </w:t>
      </w:r>
    </w:p>
    <w:p w:rsidR="00000000" w:rsidDel="00000000" w:rsidP="00000000" w:rsidRDefault="00000000" w:rsidRPr="00000000" w14:paraId="00000012">
      <w:pPr>
        <w:ind w:left="0" w:hanging="2"/>
        <w:rPr/>
      </w:pPr>
      <w:r w:rsidDel="00000000" w:rsidR="00000000" w:rsidRPr="00000000">
        <w:rPr>
          <w:rtl w:val="0"/>
        </w:rPr>
        <w:t xml:space="preserve">2.4.3 - Obrigações Fiscais; e</w:t>
      </w:r>
    </w:p>
    <w:p w:rsidR="00000000" w:rsidDel="00000000" w:rsidP="00000000" w:rsidRDefault="00000000" w:rsidRPr="00000000" w14:paraId="00000013">
      <w:pPr>
        <w:ind w:left="0" w:hanging="2"/>
        <w:rPr/>
      </w:pPr>
      <w:r w:rsidDel="00000000" w:rsidR="00000000" w:rsidRPr="00000000">
        <w:rPr>
          <w:rtl w:val="0"/>
        </w:rPr>
        <w:t xml:space="preserve">2.4.4 - Demais obrigações. </w:t>
      </w:r>
    </w:p>
    <w:p w:rsidR="00000000" w:rsidDel="00000000" w:rsidP="00000000" w:rsidRDefault="00000000" w:rsidRPr="00000000" w14:paraId="00000014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hanging="2"/>
        <w:rPr/>
      </w:pPr>
      <w:r w:rsidDel="00000000" w:rsidR="00000000" w:rsidRPr="00000000">
        <w:rPr>
          <w:rtl w:val="0"/>
        </w:rPr>
        <w:t xml:space="preserve">2.5 - Investimentos: São compostos por (i) participações permanentes; (ii) propriedades para investimento; e (iii) demais investimentos. As participações permanentes representam os investimentos realizados em empresas, consórcios públicos e fundos realizados pelo Sudene. Quando há influência significativa, são mensurados e avaliados pelo método de custo, sendo reconhecidas as perdas prováveis apuradas em avaliações periódicas. As propriedades para investimento compreendem os bens imóveis mantidos com fins de renda e/ou ganho de capital, que não são usados nas operações e que não serão vendidos em curto prazo. As entidades que compõem a União têm utilizado dois critérios para mensuração e avaliação desses bens: (i) valor de custo; e (ii) custo depreciado. Obs: Não consta saldo em nenhuma conta de Investimento no órgão 53203-Sudene. </w:t>
      </w:r>
    </w:p>
    <w:p w:rsidR="00000000" w:rsidDel="00000000" w:rsidP="00000000" w:rsidRDefault="00000000" w:rsidRPr="00000000" w14:paraId="00000016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hanging="2"/>
        <w:rPr/>
      </w:pPr>
      <w:r w:rsidDel="00000000" w:rsidR="00000000" w:rsidRPr="00000000">
        <w:rPr>
          <w:rtl w:val="0"/>
        </w:rPr>
        <w:t xml:space="preserve">2.6 - Resultado Patrimonial: A apuração do resultado patrimonial implica a confrontação das variações patrimoniais aumentativas (VPA) e das variações patrimoniais diminutivas (VPD). As VPA são reconhecidas quando for provável que benefícios econômicos fluirão para o Sudene e quando puderem ser mensuradas confiavelmente. Utilizando-se a lógica do regime de competência. A exceção se refere às receitas tributárias e às transferências recebidas, que seguem a lógica do regime de caixa, que é permitido de acordo com o modelo PCASP. As VPD são reconhecidas quando for provável que irão ocorrer decréscimos nos benefícios econômicos para a Sudene, implicando em saída de recursos ou em redução de ativos ou na assunção de passivos, seguindo a lógica do regime de competência. A exceção se refere às despesas oriundas da restituição de receitas tributárias e às transferências concedidas, que seguem a lógica do regime de caixa, que é permitido de acordo com o modelo PCASP. A apuração do resultado se dá pelo encerramento das contas de VPA e VPD, em contrapartida a uma conta de apuração. Após a apuração, o resultado é transferido para conta de Superávit/Déficit do Exercício. O detalhamento do confronto entre VPA e VPD é apresentado na Demonstração das Variações Patrimoniais. </w:t>
      </w:r>
    </w:p>
    <w:p w:rsidR="00000000" w:rsidDel="00000000" w:rsidP="00000000" w:rsidRDefault="00000000" w:rsidRPr="00000000" w14:paraId="00000018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hanging="2"/>
        <w:rPr/>
      </w:pPr>
      <w:r w:rsidDel="00000000" w:rsidR="00000000" w:rsidRPr="00000000">
        <w:rPr>
          <w:rtl w:val="0"/>
        </w:rPr>
        <w:t xml:space="preserve">2.7 - Resultado Orçamentário: O regime orçamentário da União segue o descrito no art. 35 da Lei nº 4.320/64. Desse modo, pertencem ao exercício financeiro as receitas nele arrecadadas e as despesas nele legalmente empenhadas. O resultado orçamentário representa o confronto entre as receitas orçamentárias realizadas e as despesas orçamentárias empenhadas. O superávit/Déficit é representado diretamente no Balanço Orçamentário. </w:t>
      </w:r>
    </w:p>
    <w:p w:rsidR="00000000" w:rsidDel="00000000" w:rsidP="00000000" w:rsidRDefault="00000000" w:rsidRPr="00000000" w14:paraId="0000001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hanging="2"/>
        <w:rPr/>
      </w:pPr>
      <w:r w:rsidDel="00000000" w:rsidR="00000000" w:rsidRPr="00000000">
        <w:rPr>
          <w:rtl w:val="0"/>
        </w:rPr>
        <w:t xml:space="preserve">2.9 - Resultado Financeiro: O resultado financeiro representa o confronto entre ingressos e dispêndios, orçamentários e extraorçamentários, que ocorreram durante o exercício e alteraram as disponibilidades da União. No Balanço Financeiro é possível identificar a apuração do resultado financeiro. Em função das particularidades da União, pela observância do princípio de caixa único, é possível, também, verificar o resultado financeiro na Demonstração dos Fluxos de Caixa. </w:t>
      </w:r>
    </w:p>
    <w:p w:rsidR="00000000" w:rsidDel="00000000" w:rsidP="00000000" w:rsidRDefault="00000000" w:rsidRPr="00000000" w14:paraId="0000001C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NOTA EXPLICATIVA – BP – BALANÇO PATRIMONIAL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Ativo Circulante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hanging="2"/>
        <w:rPr/>
      </w:pPr>
      <w:r w:rsidDel="00000000" w:rsidR="00000000" w:rsidRPr="00000000">
        <w:rPr>
          <w:rtl w:val="0"/>
        </w:rPr>
        <w:t xml:space="preserve">Os recursos em Caixa e Equivalente de Caixa, no Órgão 53203, são compostos por recursos aplicados na conta única e na conta limite de saque.</w:t>
      </w:r>
    </w:p>
    <w:p w:rsidR="00000000" w:rsidDel="00000000" w:rsidP="00000000" w:rsidRDefault="00000000" w:rsidRPr="00000000" w14:paraId="00000043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Caixa e Equivalentes de Caixa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hanging="2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Tabela 01 - Caixa e Equivalentes de Caixa</w:t>
      </w:r>
      <w:r w:rsidDel="00000000" w:rsidR="00000000" w:rsidRPr="00000000">
        <w:rPr>
          <w:b w:val="1"/>
          <w:sz w:val="18"/>
          <w:szCs w:val="18"/>
          <w:rtl w:val="0"/>
        </w:rPr>
        <w:t xml:space="preserve"> – </w:t>
      </w:r>
      <w:r w:rsidDel="00000000" w:rsidR="00000000" w:rsidRPr="00000000">
        <w:rPr>
          <w:sz w:val="18"/>
          <w:szCs w:val="18"/>
          <w:rtl w:val="0"/>
        </w:rPr>
        <w:t xml:space="preserve">Composição</w:t>
      </w:r>
    </w:p>
    <w:p w:rsidR="00000000" w:rsidDel="00000000" w:rsidP="00000000" w:rsidRDefault="00000000" w:rsidRPr="00000000" w14:paraId="00000047">
      <w:pPr>
        <w:ind w:left="0" w:hanging="2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                                                        R$ </w:t>
      </w:r>
      <w:r w:rsidDel="00000000" w:rsidR="00000000" w:rsidRPr="00000000">
        <w:rPr>
          <w:rtl w:val="0"/>
        </w:rPr>
      </w:r>
    </w:p>
    <w:tbl>
      <w:tblPr>
        <w:tblStyle w:val="Table1"/>
        <w:tblW w:w="6412.0" w:type="dxa"/>
        <w:jc w:val="left"/>
        <w:tblInd w:w="-108.0" w:type="dxa"/>
        <w:tblLayout w:type="fixed"/>
        <w:tblLook w:val="0000"/>
      </w:tblPr>
      <w:tblGrid>
        <w:gridCol w:w="4658"/>
        <w:gridCol w:w="1754"/>
        <w:tblGridChange w:id="0">
          <w:tblGrid>
            <w:gridCol w:w="4658"/>
            <w:gridCol w:w="1754"/>
          </w:tblGrid>
        </w:tblGridChange>
      </w:tblGrid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48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49">
            <w:pPr>
              <w:ind w:left="0" w:hanging="2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               31/12/2024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CTU-1.1.1.1.1.02.06</w:t>
            </w:r>
          </w:p>
        </w:tc>
        <w:tc>
          <w:tcPr/>
          <w:p w:rsidR="00000000" w:rsidDel="00000000" w:rsidP="00000000" w:rsidRDefault="00000000" w:rsidRPr="00000000" w14:paraId="0000004B">
            <w:pPr>
              <w:tabs>
                <w:tab w:val="left" w:leader="none" w:pos="1487"/>
              </w:tabs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142.573.026,75</w:t>
            </w:r>
          </w:p>
        </w:tc>
      </w:tr>
      <w:tr>
        <w:trPr>
          <w:cantSplit w:val="0"/>
          <w:trHeight w:val="233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Demais Contas - Caixa Econômica Federal</w:t>
            </w:r>
          </w:p>
          <w:p w:rsidR="00000000" w:rsidDel="00000000" w:rsidP="00000000" w:rsidRDefault="00000000" w:rsidRPr="00000000" w14:paraId="0000004D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Limite de saque- 1.1.1.1.2.20.01</w:t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2.700,00</w:t>
            </w:r>
          </w:p>
          <w:p w:rsidR="00000000" w:rsidDel="00000000" w:rsidP="00000000" w:rsidRDefault="00000000" w:rsidRPr="00000000" w14:paraId="0000004F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360.816,02</w:t>
            </w:r>
          </w:p>
        </w:tc>
      </w:tr>
      <w:tr>
        <w:trPr>
          <w:cantSplit w:val="0"/>
          <w:trHeight w:val="233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Limite de saque- 1.1.1.1.2.20.03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3.284.508,96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52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53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146.221.051,73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Fonte: SIAFI 2024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0" w:hanging="2"/>
        <w:rPr/>
      </w:pPr>
      <w:r w:rsidDel="00000000" w:rsidR="00000000" w:rsidRPr="00000000">
        <w:rPr>
          <w:rtl w:val="0"/>
        </w:rPr>
        <w:t xml:space="preserve">Incluem dinheiro em conta única e aplicações de liquidez imediata. Os valores são mensurados e avaliados pelo valor de custo e, quando aplicável, são acrescidos dos rendimentos auferidos até a data das demonstrações contábeis. Os recursos aplicados são receitas próprias da instituição referentes, principalmente, relacionadas com as receitas de aplicações financeiras e as oriundas de 2% previstos nas liberações do FDNE à gestora do Fundo (SUDENE) e 2% de incentivos fiscais.</w:t>
      </w:r>
    </w:p>
    <w:p w:rsidR="00000000" w:rsidDel="00000000" w:rsidP="00000000" w:rsidRDefault="00000000" w:rsidRPr="00000000" w14:paraId="00000057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Créditos de curto prazo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Tabela 02 – Composição dos Créditos de Curto Prazo</w:t>
      </w:r>
    </w:p>
    <w:p w:rsidR="00000000" w:rsidDel="00000000" w:rsidP="00000000" w:rsidRDefault="00000000" w:rsidRPr="00000000" w14:paraId="0000005B">
      <w:pPr>
        <w:ind w:left="0" w:hanging="2"/>
        <w:jc w:val="left"/>
        <w:rPr/>
      </w:pPr>
      <w:r w:rsidDel="00000000" w:rsidR="00000000" w:rsidRPr="00000000">
        <w:rPr>
          <w:sz w:val="18"/>
          <w:szCs w:val="18"/>
          <w:rtl w:val="0"/>
        </w:rPr>
        <w:t xml:space="preserve">                                                                                                                    R$ </w:t>
      </w:r>
      <w:r w:rsidDel="00000000" w:rsidR="00000000" w:rsidRPr="00000000">
        <w:rPr>
          <w:rtl w:val="0"/>
        </w:rPr>
      </w:r>
    </w:p>
    <w:tbl>
      <w:tblPr>
        <w:tblStyle w:val="Table2"/>
        <w:tblW w:w="6412.0" w:type="dxa"/>
        <w:jc w:val="left"/>
        <w:tblInd w:w="-108.0" w:type="dxa"/>
        <w:tblLayout w:type="fixed"/>
        <w:tblLook w:val="0000"/>
      </w:tblPr>
      <w:tblGrid>
        <w:gridCol w:w="4658"/>
        <w:gridCol w:w="1754"/>
        <w:tblGridChange w:id="0">
          <w:tblGrid>
            <w:gridCol w:w="4658"/>
            <w:gridCol w:w="1754"/>
          </w:tblGrid>
        </w:tblGridChange>
      </w:tblGrid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5C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5D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31/12/2024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1.1.3.1.0.00.00 Adiantamentos Concedidos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276.215,80</w:t>
            </w:r>
          </w:p>
        </w:tc>
      </w:tr>
      <w:tr>
        <w:trPr>
          <w:cantSplit w:val="0"/>
          <w:trHeight w:val="233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1.1.3.8.0.00.00 Outros Créditos a Receber e Valores a Curto Prazo</w:t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21.224.970,73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62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63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21.501.186,53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ind w:left="0" w:hanging="2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Fonte: SIAFI 2024</w:t>
      </w:r>
    </w:p>
    <w:p w:rsidR="00000000" w:rsidDel="00000000" w:rsidP="00000000" w:rsidRDefault="00000000" w:rsidRPr="00000000" w14:paraId="00000065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hanging="2"/>
        <w:rPr/>
      </w:pPr>
      <w:r w:rsidDel="00000000" w:rsidR="00000000" w:rsidRPr="00000000">
        <w:rPr>
          <w:rtl w:val="0"/>
        </w:rPr>
        <w:t xml:space="preserve">Em 31/12/2024, os créditos de curto prazo no órgão 53203, no total de R$ 21.501.186,53, são oriundos, principalmente, de reconhecimento de valores registrados em Adiantamento - Termo de Execução Descentralizada (1.1.3.8.2.38.00), no valor de R$ 20.875.156,70.</w:t>
      </w:r>
    </w:p>
    <w:p w:rsidR="00000000" w:rsidDel="00000000" w:rsidP="00000000" w:rsidRDefault="00000000" w:rsidRPr="00000000" w14:paraId="00000067">
      <w:pPr>
        <w:ind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Ativo Não Circulante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left="0" w:hanging="2"/>
        <w:rPr/>
      </w:pPr>
      <w:r w:rsidDel="00000000" w:rsidR="00000000" w:rsidRPr="00000000">
        <w:rPr>
          <w:rtl w:val="0"/>
        </w:rPr>
        <w:t xml:space="preserve">Até o quarto trimestre, o saldo do ANC foi de R$ 5.335.164,97. Desse total, </w:t>
      </w:r>
      <w:r w:rsidDel="00000000" w:rsidR="00000000" w:rsidRPr="00000000">
        <w:rPr>
          <w:rtl w:val="0"/>
        </w:rPr>
        <w:t xml:space="preserve">R$ </w:t>
      </w:r>
      <w:r w:rsidDel="00000000" w:rsidR="00000000" w:rsidRPr="00000000">
        <w:rPr>
          <w:rtl w:val="0"/>
        </w:rPr>
        <w:t xml:space="preserve">3.953.886,16 são do imobilizado (registrado em bens móveis em sua totalidade) e </w:t>
      </w:r>
      <w:r w:rsidDel="00000000" w:rsidR="00000000" w:rsidRPr="00000000">
        <w:rPr>
          <w:rtl w:val="0"/>
        </w:rPr>
        <w:t xml:space="preserve">R$ </w:t>
      </w:r>
      <w:r w:rsidDel="00000000" w:rsidR="00000000" w:rsidRPr="00000000">
        <w:rPr>
          <w:rtl w:val="0"/>
        </w:rPr>
        <w:t xml:space="preserve">1.381.278,81 intangível. Os bens móveis, por sua vez, estão classificados em Máquinas, Aparelhos, Equipamentos e Ferramentas, Bens de Informática, Móveis e Utensílios, Material Cultural, Educacional e de Comunicação, Veículos, Bens Móveis em Almoxarifado e Demais Bens Móveis.</w:t>
      </w:r>
    </w:p>
    <w:p w:rsidR="00000000" w:rsidDel="00000000" w:rsidP="00000000" w:rsidRDefault="00000000" w:rsidRPr="00000000" w14:paraId="0000006B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Passivo Circulante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Obrigações de curto prazo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0" w:hanging="2"/>
        <w:rPr/>
      </w:pPr>
      <w:r w:rsidDel="00000000" w:rsidR="00000000" w:rsidRPr="00000000">
        <w:rPr>
          <w:rtl w:val="0"/>
        </w:rPr>
        <w:t xml:space="preserve">Em 31/12/2024, o órgão 53203 apresentou um saldo em aberto de R$ 28.210.360,90 milhões relacionados com obrigações de curto prazo. Conforme a seguinte tabela:</w:t>
      </w:r>
    </w:p>
    <w:p w:rsidR="00000000" w:rsidDel="00000000" w:rsidP="00000000" w:rsidRDefault="00000000" w:rsidRPr="00000000" w14:paraId="0000007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0" w:hanging="2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Tabela 03 – Obrigações de curto prazo – Composição</w:t>
      </w:r>
    </w:p>
    <w:p w:rsidR="00000000" w:rsidDel="00000000" w:rsidP="00000000" w:rsidRDefault="00000000" w:rsidRPr="00000000" w14:paraId="0000007C">
      <w:pPr>
        <w:ind w:left="0" w:hanging="2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                                                                                           R$</w:t>
      </w:r>
      <w:r w:rsidDel="00000000" w:rsidR="00000000" w:rsidRPr="00000000">
        <w:rPr>
          <w:rtl w:val="0"/>
        </w:rPr>
      </w:r>
    </w:p>
    <w:tbl>
      <w:tblPr>
        <w:tblStyle w:val="Table3"/>
        <w:tblW w:w="7170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75"/>
        <w:gridCol w:w="3195"/>
        <w:tblGridChange w:id="0">
          <w:tblGrid>
            <w:gridCol w:w="3975"/>
            <w:gridCol w:w="3195"/>
          </w:tblGrid>
        </w:tblGridChange>
      </w:tblGrid>
      <w:tr>
        <w:trPr>
          <w:cantSplit w:val="0"/>
          <w:trHeight w:val="253" w:hRule="atLeast"/>
          <w:tblHeader w:val="0"/>
        </w:trPr>
        <w:tc>
          <w:tcPr>
            <w:tcBorders>
              <w:bottom w:color="000000" w:space="0" w:sz="4" w:val="single"/>
              <w:right w:color="000000" w:space="0" w:sz="0" w:val="nil"/>
            </w:tcBorders>
            <w:shd w:fill="eeece1" w:val="clear"/>
          </w:tcPr>
          <w:p w:rsidR="00000000" w:rsidDel="00000000" w:rsidP="00000000" w:rsidRDefault="00000000" w:rsidRPr="00000000" w14:paraId="0000007D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eeece1" w:val="clear"/>
          </w:tcPr>
          <w:p w:rsidR="00000000" w:rsidDel="00000000" w:rsidP="00000000" w:rsidRDefault="00000000" w:rsidRPr="00000000" w14:paraId="0000007E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31/12/2024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Circulante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Obrigações Trabalhistas, Previdenciárias e Assistenciais a Pagar a Curto Prazo (2.1.1.0.0.00.00)</w:t>
            </w:r>
          </w:p>
          <w:p w:rsidR="00000000" w:rsidDel="00000000" w:rsidP="00000000" w:rsidRDefault="00000000" w:rsidRPr="00000000" w14:paraId="00000082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Fornecedores e Contas a Pagar a Curto Prazo</w:t>
            </w:r>
          </w:p>
          <w:p w:rsidR="00000000" w:rsidDel="00000000" w:rsidP="00000000" w:rsidRDefault="00000000" w:rsidRPr="00000000" w14:paraId="00000084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(2.1.3.0.0.00.00)          </w:t>
            </w:r>
          </w:p>
          <w:p w:rsidR="00000000" w:rsidDel="00000000" w:rsidP="00000000" w:rsidRDefault="00000000" w:rsidRPr="00000000" w14:paraId="00000085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Transferências Fiscais a Curto Prazo  (2.1.5.0.0.00.00)    </w:t>
            </w:r>
          </w:p>
          <w:p w:rsidR="00000000" w:rsidDel="00000000" w:rsidP="00000000" w:rsidRDefault="00000000" w:rsidRPr="00000000" w14:paraId="00000087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                               </w:t>
            </w:r>
          </w:p>
          <w:p w:rsidR="00000000" w:rsidDel="00000000" w:rsidP="00000000" w:rsidRDefault="00000000" w:rsidRPr="00000000" w14:paraId="00000088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Adiantamento de Clientes e Demais Obrigações a  Curto Prazo (2.1.8.0.0.00.00)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5.330.418,40</w:t>
            </w:r>
          </w:p>
          <w:p w:rsidR="00000000" w:rsidDel="00000000" w:rsidP="00000000" w:rsidRDefault="00000000" w:rsidRPr="00000000" w14:paraId="0000008A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4.285,61</w:t>
            </w:r>
          </w:p>
          <w:p w:rsidR="00000000" w:rsidDel="00000000" w:rsidP="00000000" w:rsidRDefault="00000000" w:rsidRPr="00000000" w14:paraId="0000008E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0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537.299,79</w:t>
            </w:r>
          </w:p>
          <w:p w:rsidR="00000000" w:rsidDel="00000000" w:rsidP="00000000" w:rsidRDefault="00000000" w:rsidRPr="00000000" w14:paraId="00000091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22.338.357,10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tcBorders>
              <w:right w:color="000000" w:space="0" w:sz="0" w:val="nil"/>
            </w:tcBorders>
            <w:shd w:fill="eeece1" w:val="clear"/>
          </w:tcPr>
          <w:p w:rsidR="00000000" w:rsidDel="00000000" w:rsidP="00000000" w:rsidRDefault="00000000" w:rsidRPr="00000000" w14:paraId="00000094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eeece1" w:val="clear"/>
          </w:tcPr>
          <w:p w:rsidR="00000000" w:rsidDel="00000000" w:rsidP="00000000" w:rsidRDefault="00000000" w:rsidRPr="00000000" w14:paraId="00000095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                                           28.210.360,90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ind w:left="0" w:hanging="2"/>
        <w:rPr>
          <w:sz w:val="18"/>
          <w:szCs w:val="18"/>
        </w:rPr>
      </w:pPr>
      <w:r w:rsidDel="00000000" w:rsidR="00000000" w:rsidRPr="00000000">
        <w:rPr>
          <w:sz w:val="16"/>
          <w:szCs w:val="16"/>
          <w:rtl w:val="0"/>
        </w:rPr>
        <w:t xml:space="preserve">Fonte: SIAFI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ind w:left="0" w:hanging="2"/>
        <w:rPr/>
      </w:pPr>
      <w:r w:rsidDel="00000000" w:rsidR="00000000" w:rsidRPr="00000000">
        <w:rPr>
          <w:rtl w:val="0"/>
        </w:rPr>
        <w:t xml:space="preserve">O fato mais relevante é o reconhecimento de valores registrados em Transferências Financeiras a Comprovar - TED (218920600), no valor de R$ 21.865.743,89.</w:t>
      </w:r>
    </w:p>
    <w:p w:rsidR="00000000" w:rsidDel="00000000" w:rsidP="00000000" w:rsidRDefault="00000000" w:rsidRPr="00000000" w14:paraId="00000099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ind w:left="0" w:hanging="2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ind w:left="0" w:hanging="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left="0" w:hanging="2"/>
        <w:jc w:val="center"/>
        <w:rPr>
          <w:u w:val="single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ind w:left="0" w:hanging="2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NOTA EXPLICATIVA – DVP (DEMONSTRAÇÃO DAS VARIAÇÕES PATRIMONIAIS)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ind w:left="0" w:hanging="2"/>
        <w:rPr/>
      </w:pPr>
      <w:r w:rsidDel="00000000" w:rsidR="00000000" w:rsidRPr="00000000">
        <w:rPr>
          <w:rtl w:val="0"/>
        </w:rPr>
        <w:t xml:space="preserve">A Demonstração das Variações Patrimoniais evidenciará as alterações verificadas no patrimônio, resultantes ou independentes da execução orçamentária, e indicará o resultado patrimonial do exercício.</w:t>
      </w:r>
    </w:p>
    <w:p w:rsidR="00000000" w:rsidDel="00000000" w:rsidP="00000000" w:rsidRDefault="00000000" w:rsidRPr="00000000" w14:paraId="000000BC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VPA (Variações Patrimoniais Aumentativas)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VPA - Exploração e Venda de Bens, Serviços e Direitos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ind w:left="0" w:hanging="2"/>
        <w:rPr/>
      </w:pPr>
      <w:r w:rsidDel="00000000" w:rsidR="00000000" w:rsidRPr="00000000">
        <w:rPr>
          <w:rtl w:val="0"/>
        </w:rPr>
        <w:t xml:space="preserve">No exercício, até o quarto trimestre, essas receitas próprias totalizaram R$ 4.708.987,76, notadamente provenientes de receitas de  incentivos fiscais.</w:t>
      </w:r>
    </w:p>
    <w:p w:rsidR="00000000" w:rsidDel="00000000" w:rsidP="00000000" w:rsidRDefault="00000000" w:rsidRPr="00000000" w14:paraId="000000C2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VPA - Variações Patrimoniais Aumentativas Financeiras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ind w:left="0" w:hanging="2"/>
        <w:rPr/>
      </w:pPr>
      <w:r w:rsidDel="00000000" w:rsidR="00000000" w:rsidRPr="00000000">
        <w:rPr>
          <w:rtl w:val="0"/>
        </w:rPr>
        <w:t xml:space="preserve">Do total de R$ 14.361.271,96 a maior parcela corresponde, principalmente, a receitas próprias oriundas das remunerações das aplicações financeiras da Conta única (CTU) no valor de R$ 14.302.051,66.</w:t>
      </w:r>
    </w:p>
    <w:p w:rsidR="00000000" w:rsidDel="00000000" w:rsidP="00000000" w:rsidRDefault="00000000" w:rsidRPr="00000000" w14:paraId="000000C6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VPA - Transferências e Delegações Recebidas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ind w:left="0" w:hanging="2"/>
        <w:rPr/>
      </w:pPr>
      <w:r w:rsidDel="00000000" w:rsidR="00000000" w:rsidRPr="00000000">
        <w:rPr>
          <w:rtl w:val="0"/>
        </w:rPr>
        <w:t xml:space="preserve">Receitas provenientes da transferência de recursos de fontes administradas pela STN à Sudene. O total de R$ 712.723.203,98. Esses recursos foram utilizados para pagamento de pessoal e atender transferências voluntárias com fonte do Tesouro Nacional, incluindo recursos a serem transferidos ao Fundo do Desenvolvimento do Nordeste (FDNE).</w:t>
      </w:r>
    </w:p>
    <w:p w:rsidR="00000000" w:rsidDel="00000000" w:rsidP="00000000" w:rsidRDefault="00000000" w:rsidRPr="00000000" w14:paraId="000000C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VPA - Valorização e Ganhos com Ativos e Desincorporação de passivos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ind w:left="0" w:hanging="2"/>
        <w:rPr/>
      </w:pPr>
      <w:r w:rsidDel="00000000" w:rsidR="00000000" w:rsidRPr="00000000">
        <w:rPr>
          <w:rtl w:val="0"/>
        </w:rPr>
        <w:t xml:space="preserve">Corresponde a devoluções de transferências voluntárias, do plano de saúde e ressarcimentos diversos etc.</w:t>
      </w:r>
    </w:p>
    <w:p w:rsidR="00000000" w:rsidDel="00000000" w:rsidP="00000000" w:rsidRDefault="00000000" w:rsidRPr="00000000" w14:paraId="000000CE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VPD (Variações Patrimoniais Diminutivas)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Pessoal e Encargos e Benefícios Previdenciários e Assistenciais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ind w:left="0" w:hanging="2"/>
        <w:rPr/>
      </w:pPr>
      <w:r w:rsidDel="00000000" w:rsidR="00000000" w:rsidRPr="00000000">
        <w:rPr>
          <w:rtl w:val="0"/>
        </w:rPr>
        <w:t xml:space="preserve">No exercício, até dezembro, essas duas classificações totalizaram R$ </w:t>
      </w:r>
      <w:r w:rsidDel="00000000" w:rsidR="00000000" w:rsidRPr="00000000">
        <w:rPr>
          <w:highlight w:val="white"/>
          <w:rtl w:val="0"/>
        </w:rPr>
        <w:t xml:space="preserve">42.356.922,84</w:t>
      </w:r>
      <w:r w:rsidDel="00000000" w:rsidR="00000000" w:rsidRPr="00000000">
        <w:rPr>
          <w:rtl w:val="0"/>
        </w:rPr>
        <w:t xml:space="preserve"> divididos da seguinte forma: Pessoal e Encargos no valor de R$ </w:t>
      </w:r>
      <w:r w:rsidDel="00000000" w:rsidR="00000000" w:rsidRPr="00000000">
        <w:rPr>
          <w:highlight w:val="white"/>
          <w:rtl w:val="0"/>
        </w:rPr>
        <w:t xml:space="preserve">33.040.166,70</w:t>
      </w:r>
      <w:r w:rsidDel="00000000" w:rsidR="00000000" w:rsidRPr="00000000">
        <w:rPr>
          <w:rtl w:val="0"/>
        </w:rPr>
        <w:t xml:space="preserve">, e Benefícios Previdenciários e Assistenciais no montante de R$ </w:t>
      </w:r>
      <w:r w:rsidDel="00000000" w:rsidR="00000000" w:rsidRPr="00000000">
        <w:rPr>
          <w:highlight w:val="white"/>
          <w:rtl w:val="0"/>
        </w:rPr>
        <w:t xml:space="preserve">9.316.756,14.</w:t>
      </w:r>
      <w:r w:rsidDel="00000000" w:rsidR="00000000" w:rsidRPr="00000000">
        <w:rPr>
          <w:rtl w:val="0"/>
        </w:rPr>
        <w:t xml:space="preserve"> Esses valores são relativos à folha de pessoal.</w:t>
      </w:r>
    </w:p>
    <w:p w:rsidR="00000000" w:rsidDel="00000000" w:rsidP="00000000" w:rsidRDefault="00000000" w:rsidRPr="00000000" w14:paraId="000000D4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Uso de Bens, Serviços e Consumo de Capital Fixo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ind w:left="0" w:hanging="2"/>
        <w:rPr/>
      </w:pPr>
      <w:r w:rsidDel="00000000" w:rsidR="00000000" w:rsidRPr="00000000">
        <w:rPr>
          <w:rtl w:val="0"/>
        </w:rPr>
        <w:t xml:space="preserve">Uso de Bens, Serviços e Consumo de Capital Fixo no valor de R$ 12.955.340,32, destinado a despesas de diárias, serviços de pessoa física e jurídica, uso de materiais, etc.</w:t>
      </w:r>
    </w:p>
    <w:p w:rsidR="00000000" w:rsidDel="00000000" w:rsidP="00000000" w:rsidRDefault="00000000" w:rsidRPr="00000000" w14:paraId="000000D8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Transferências e Delegações Concedidas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ind w:left="0" w:hanging="2"/>
        <w:rPr/>
      </w:pPr>
      <w:r w:rsidDel="00000000" w:rsidR="00000000" w:rsidRPr="00000000">
        <w:rPr>
          <w:rtl w:val="0"/>
        </w:rPr>
        <w:t xml:space="preserve">O valor total foi R$ 822.542.207,65, incluindo Transferências Concedidas para pagamento de RP de Convênios, Termos de Execução Descentralizada e para UG do FDNE.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VPD - Tributárias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ind w:left="0" w:hanging="2"/>
        <w:rPr/>
      </w:pPr>
      <w:r w:rsidDel="00000000" w:rsidR="00000000" w:rsidRPr="00000000">
        <w:rPr>
          <w:rtl w:val="0"/>
        </w:rPr>
        <w:t xml:space="preserve">Valor total de R$ 542.466,17, relativo a despesas com contribuições do PIS/PASEP (R$ 518.039,24), contribuições patronais com serviço de pessoa física (R$ 11.080,00), contribuição para serviço de iluminação pública (R$ 13.081,87) e taxas com licenciamento de veículos (R$ 265,06).</w:t>
      </w:r>
    </w:p>
    <w:p w:rsidR="00000000" w:rsidDel="00000000" w:rsidP="00000000" w:rsidRDefault="00000000" w:rsidRPr="00000000" w14:paraId="000000E0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Outras Variações Patrimoniais Diminutivas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ind w:left="0" w:hanging="2"/>
        <w:rPr/>
      </w:pPr>
      <w:r w:rsidDel="00000000" w:rsidR="00000000" w:rsidRPr="00000000">
        <w:rPr>
          <w:rtl w:val="0"/>
        </w:rPr>
        <w:t xml:space="preserve">Valor total R</w:t>
      </w:r>
      <w:r w:rsidDel="00000000" w:rsidR="00000000" w:rsidRPr="00000000">
        <w:rPr>
          <w:rtl w:val="0"/>
        </w:rPr>
        <w:t xml:space="preserve">$ </w:t>
      </w:r>
      <w:r w:rsidDel="00000000" w:rsidR="00000000" w:rsidRPr="00000000">
        <w:rPr>
          <w:rtl w:val="0"/>
        </w:rPr>
        <w:t xml:space="preserve">39.101,15 destinado à indenizações e restituições.</w:t>
      </w:r>
    </w:p>
    <w:p w:rsidR="00000000" w:rsidDel="00000000" w:rsidP="00000000" w:rsidRDefault="00000000" w:rsidRPr="00000000" w14:paraId="000000E4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Resultado Patrimonial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ind w:left="0" w:hanging="2"/>
        <w:rPr/>
      </w:pPr>
      <w:r w:rsidDel="00000000" w:rsidR="00000000" w:rsidRPr="00000000">
        <w:rPr>
          <w:rtl w:val="0"/>
        </w:rPr>
        <w:t xml:space="preserve">No exercício, até o mês de dezembro, o Resultado Patrimonial foi deficitário em R$ 2.327.558,85.</w:t>
      </w:r>
    </w:p>
    <w:p w:rsidR="00000000" w:rsidDel="00000000" w:rsidP="00000000" w:rsidRDefault="00000000" w:rsidRPr="00000000" w14:paraId="000000E8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NOTA EXPLICATIVA – BO – BALANÇO ORÇAMENTÁRIO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ind w:left="0" w:hanging="2"/>
        <w:rPr/>
      </w:pPr>
      <w:r w:rsidDel="00000000" w:rsidR="00000000" w:rsidRPr="00000000">
        <w:rPr>
          <w:rtl w:val="0"/>
        </w:rPr>
        <w:t xml:space="preserve">O Balanço Orçamentário evidencia as receitas e as despesas orçamentárias, confrontando a dotação inicial, atualizada e as suas alterações com a execução, e por outro lado, também as receitas (ingressos orçamentários estimados) previstas e a sua arrecadação, onde o confronto entre a execução da despesa e a realização da receita demonstra o resultado orçamentário. Também demonstra em seus anexos a execução dos Restos a Pagar.</w:t>
      </w:r>
    </w:p>
    <w:p w:rsidR="00000000" w:rsidDel="00000000" w:rsidP="00000000" w:rsidRDefault="00000000" w:rsidRPr="00000000" w14:paraId="0000011F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Receitas Orçamentárias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Arrecadação até o quarto trimestre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ind w:left="0" w:hanging="2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Tabela 04 – Arrecadação até dezembro/2024</w:t>
      </w:r>
    </w:p>
    <w:p w:rsidR="00000000" w:rsidDel="00000000" w:rsidP="00000000" w:rsidRDefault="00000000" w:rsidRPr="00000000" w14:paraId="00000125">
      <w:pPr>
        <w:ind w:left="0" w:hanging="2"/>
        <w:rPr>
          <w:sz w:val="18"/>
          <w:szCs w:val="18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R$</w:t>
      </w:r>
      <w:r w:rsidDel="00000000" w:rsidR="00000000" w:rsidRPr="00000000">
        <w:rPr>
          <w:sz w:val="16"/>
          <w:szCs w:val="16"/>
          <w:rtl w:val="0"/>
        </w:rPr>
        <w:tab/>
        <w:tab/>
        <w:tab/>
        <w:tab/>
        <w:t xml:space="preserve">                                           </w:t>
      </w:r>
      <w:r w:rsidDel="00000000" w:rsidR="00000000" w:rsidRPr="00000000">
        <w:rPr>
          <w:rtl w:val="0"/>
        </w:rPr>
      </w:r>
    </w:p>
    <w:tbl>
      <w:tblPr>
        <w:tblStyle w:val="Table4"/>
        <w:tblW w:w="5708.000000000001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27"/>
        <w:gridCol w:w="1945"/>
        <w:gridCol w:w="236"/>
        <w:tblGridChange w:id="0">
          <w:tblGrid>
            <w:gridCol w:w="3527"/>
            <w:gridCol w:w="1945"/>
            <w:gridCol w:w="2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126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eece1" w:val="clear"/>
          </w:tcPr>
          <w:p w:rsidR="00000000" w:rsidDel="00000000" w:rsidP="00000000" w:rsidRDefault="00000000" w:rsidRPr="00000000" w14:paraId="00000127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Arrecadada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128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9">
            <w:pPr>
              <w:ind w:left="0" w:right="-675" w:hanging="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Receitas Patrimonial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A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14.356.873,79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B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C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Receitas de Serviços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D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4.708.987,76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E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F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Outras Receitas Correntes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0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34.503.009,04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1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132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eece1" w:val="clear"/>
            <w:vAlign w:val="center"/>
          </w:tcPr>
          <w:p w:rsidR="00000000" w:rsidDel="00000000" w:rsidP="00000000" w:rsidRDefault="00000000" w:rsidRPr="00000000" w14:paraId="00000133">
            <w:pPr>
              <w:ind w:left="0" w:hanging="2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53.568.870,59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134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5">
      <w:pPr>
        <w:ind w:left="0" w:hanging="2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Fonte: SIAFI 2024</w:t>
      </w:r>
    </w:p>
    <w:p w:rsidR="00000000" w:rsidDel="00000000" w:rsidP="00000000" w:rsidRDefault="00000000" w:rsidRPr="00000000" w14:paraId="00000136">
      <w:pPr>
        <w:ind w:left="0" w:hanging="2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Receitas Correntes e de Capital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ind w:left="0" w:hanging="2"/>
        <w:rPr/>
      </w:pPr>
      <w:r w:rsidDel="00000000" w:rsidR="00000000" w:rsidRPr="00000000">
        <w:rPr>
          <w:rtl w:val="0"/>
        </w:rPr>
        <w:t xml:space="preserve">No quarto trimestre de 2024, até o mês de dezembro, a Sudene arrecadou apenas Receitas Correntes.</w:t>
      </w:r>
    </w:p>
    <w:p w:rsidR="00000000" w:rsidDel="00000000" w:rsidP="00000000" w:rsidRDefault="00000000" w:rsidRPr="00000000" w14:paraId="0000013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ind w:left="0" w:hanging="2"/>
        <w:rPr/>
      </w:pPr>
      <w:r w:rsidDel="00000000" w:rsidR="00000000" w:rsidRPr="00000000">
        <w:rPr>
          <w:rtl w:val="0"/>
        </w:rPr>
        <w:t xml:space="preserve">Nas receitas patrimoniais, as receitas de valores mobiliários no valor de R$ 14.356.873,79</w:t>
      </w:r>
      <w:r w:rsidDel="00000000" w:rsidR="00000000" w:rsidRPr="00000000">
        <w:rPr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  <w:t xml:space="preserve">correspondem, principalmente, a rendimentos de aplicação financeira aplicados em conta única.</w:t>
      </w:r>
    </w:p>
    <w:p w:rsidR="00000000" w:rsidDel="00000000" w:rsidP="00000000" w:rsidRDefault="00000000" w:rsidRPr="00000000" w14:paraId="0000013C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ind w:left="0" w:hanging="2"/>
        <w:rPr/>
      </w:pPr>
      <w:r w:rsidDel="00000000" w:rsidR="00000000" w:rsidRPr="00000000">
        <w:rPr>
          <w:rtl w:val="0"/>
        </w:rPr>
        <w:t xml:space="preserve">Nas receitas de serviços, as receitas de serviços administrativos e comerciais gerais, no valor de R$ 4.708.987,76, é relativa, notadamente, à porcentagem dos incentivos fiscais destinados à SUDENE.</w:t>
      </w:r>
    </w:p>
    <w:p w:rsidR="00000000" w:rsidDel="00000000" w:rsidP="00000000" w:rsidRDefault="00000000" w:rsidRPr="00000000" w14:paraId="0000013E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Despesas Orçamentárias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ind w:left="0" w:hanging="2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Tabela 05 – Execução das Despesas Orçamentárias</w:t>
      </w:r>
    </w:p>
    <w:p w:rsidR="00000000" w:rsidDel="00000000" w:rsidP="00000000" w:rsidRDefault="00000000" w:rsidRPr="00000000" w14:paraId="00000142">
      <w:pPr>
        <w:ind w:left="0" w:hanging="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ind w:left="0" w:hanging="2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                                                                                                                                        R$</w:t>
      </w:r>
    </w:p>
    <w:tbl>
      <w:tblPr>
        <w:tblStyle w:val="Table5"/>
        <w:tblW w:w="8145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1455"/>
        <w:gridCol w:w="1605"/>
        <w:gridCol w:w="1410"/>
        <w:gridCol w:w="1620"/>
        <w:tblGridChange w:id="0">
          <w:tblGrid>
            <w:gridCol w:w="2055"/>
            <w:gridCol w:w="1455"/>
            <w:gridCol w:w="1605"/>
            <w:gridCol w:w="1410"/>
            <w:gridCol w:w="1620"/>
          </w:tblGrid>
        </w:tblGridChange>
      </w:tblGrid>
      <w:tr>
        <w:trPr>
          <w:cantSplit w:val="0"/>
          <w:trHeight w:val="351" w:hRule="atLeast"/>
          <w:tblHeader w:val="0"/>
        </w:trPr>
        <w:tc>
          <w:tcPr/>
          <w:p w:rsidR="00000000" w:rsidDel="00000000" w:rsidP="00000000" w:rsidRDefault="00000000" w:rsidRPr="00000000" w14:paraId="00000144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Despesas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0" w:hanging="2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Dotação atualizada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Empenhadas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Liquidadas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Pagas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149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Correntes</w:t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60.367.044,00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55.298.270,35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53.566.032,15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50.156.353,91</w:t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14E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Capital</w:t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2.061.959,00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1.870.133,07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326.196,86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326.196,86</w:t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153">
            <w:pPr>
              <w:ind w:hanging="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Reserva de contingência</w:t>
            </w:r>
          </w:p>
        </w:tc>
        <w:tc>
          <w:tcPr/>
          <w:p w:rsidR="00000000" w:rsidDel="00000000" w:rsidP="00000000" w:rsidRDefault="00000000" w:rsidRPr="00000000" w14:paraId="00000154">
            <w:pPr>
              <w:ind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166.445,00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0,00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158">
            <w:pPr>
              <w:ind w:left="0" w:hanging="2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</w:t>
            </w:r>
          </w:p>
        </w:tc>
        <w:tc>
          <w:tcPr>
            <w:shd w:fill="eeece1" w:val="clear"/>
          </w:tcPr>
          <w:p w:rsidR="00000000" w:rsidDel="00000000" w:rsidP="00000000" w:rsidRDefault="00000000" w:rsidRPr="00000000" w14:paraId="00000159">
            <w:pPr>
              <w:ind w:left="0" w:hanging="2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62.595.448,00</w:t>
            </w:r>
          </w:p>
        </w:tc>
        <w:tc>
          <w:tcPr>
            <w:shd w:fill="eeece1" w:val="clear"/>
          </w:tcPr>
          <w:p w:rsidR="00000000" w:rsidDel="00000000" w:rsidP="00000000" w:rsidRDefault="00000000" w:rsidRPr="00000000" w14:paraId="0000015A">
            <w:pPr>
              <w:ind w:hanging="2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57.168.403,42</w:t>
            </w:r>
          </w:p>
        </w:tc>
        <w:tc>
          <w:tcPr>
            <w:shd w:fill="eeece1" w:val="clear"/>
          </w:tcPr>
          <w:p w:rsidR="00000000" w:rsidDel="00000000" w:rsidP="00000000" w:rsidRDefault="00000000" w:rsidRPr="00000000" w14:paraId="0000015B">
            <w:pPr>
              <w:ind w:hanging="2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53.892.229,01</w:t>
            </w:r>
          </w:p>
        </w:tc>
        <w:tc>
          <w:tcPr>
            <w:shd w:fill="eeece1" w:val="clear"/>
          </w:tcPr>
          <w:p w:rsidR="00000000" w:rsidDel="00000000" w:rsidP="00000000" w:rsidRDefault="00000000" w:rsidRPr="00000000" w14:paraId="0000015C">
            <w:pPr>
              <w:ind w:left="0" w:hanging="2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50.482.550,77</w:t>
            </w:r>
          </w:p>
        </w:tc>
      </w:tr>
    </w:tbl>
    <w:p w:rsidR="00000000" w:rsidDel="00000000" w:rsidP="00000000" w:rsidRDefault="00000000" w:rsidRPr="00000000" w14:paraId="0000015D">
      <w:pPr>
        <w:ind w:left="0" w:hanging="2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Fonte: SIAFI 2024</w:t>
      </w:r>
    </w:p>
    <w:p w:rsidR="00000000" w:rsidDel="00000000" w:rsidP="00000000" w:rsidRDefault="00000000" w:rsidRPr="00000000" w14:paraId="0000015E">
      <w:pPr>
        <w:ind w:left="0" w:hanging="2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Despesas Correntes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ind w:left="0" w:hanging="2"/>
        <w:rPr/>
      </w:pPr>
      <w:r w:rsidDel="00000000" w:rsidR="00000000" w:rsidRPr="00000000">
        <w:rPr>
          <w:rtl w:val="0"/>
        </w:rPr>
        <w:t xml:space="preserve">Correspondente a 99,39% das despesas liquidadas. Do total liquidado nas despesas correntes 73,12% são relativos às despesas com pessoal e encargos e o restante para outras despesas correntes.</w:t>
      </w:r>
    </w:p>
    <w:p w:rsidR="00000000" w:rsidDel="00000000" w:rsidP="00000000" w:rsidRDefault="00000000" w:rsidRPr="00000000" w14:paraId="00000162">
      <w:pPr>
        <w:ind w:left="0" w:hanging="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Despesas de Capital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ind w:left="0" w:hanging="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ind w:left="0" w:hanging="2"/>
        <w:rPr/>
      </w:pPr>
      <w:r w:rsidDel="00000000" w:rsidR="00000000" w:rsidRPr="00000000">
        <w:rPr>
          <w:rtl w:val="0"/>
        </w:rPr>
        <w:t xml:space="preserve">Do valor total liquidado de R$ </w:t>
      </w:r>
      <w:r w:rsidDel="00000000" w:rsidR="00000000" w:rsidRPr="00000000">
        <w:rPr>
          <w:rtl w:val="0"/>
        </w:rPr>
        <w:t xml:space="preserve">326.196,86</w:t>
      </w:r>
      <w:r w:rsidDel="00000000" w:rsidR="00000000" w:rsidRPr="00000000">
        <w:rPr>
          <w:rtl w:val="0"/>
        </w:rPr>
        <w:t xml:space="preserve">, a maior parte (R$ 301.318,06) refere-se a liquidação e liberação para parcela de um convênio.</w:t>
      </w:r>
    </w:p>
    <w:p w:rsidR="00000000" w:rsidDel="00000000" w:rsidP="00000000" w:rsidRDefault="00000000" w:rsidRPr="00000000" w14:paraId="00000166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ind w:left="0" w:hanging="2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Restos a Pagar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ind w:left="0" w:hanging="2"/>
        <w:rPr/>
      </w:pPr>
      <w:r w:rsidDel="00000000" w:rsidR="00000000" w:rsidRPr="00000000">
        <w:rPr>
          <w:rtl w:val="0"/>
        </w:rPr>
        <w:t xml:space="preserve">Nos restos a pagar não processados os pagamentos foram alocados em investimentos, relacionados à liberações de convênios, derivados de emendas parlamentares e do orçamento próprio do órgão e outros pagamentos, relacionados principalmente, a gastos administrativos e folha de pessoal.</w:t>
      </w:r>
    </w:p>
    <w:p w:rsidR="00000000" w:rsidDel="00000000" w:rsidP="00000000" w:rsidRDefault="00000000" w:rsidRPr="00000000" w14:paraId="0000016C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ind w:left="0" w:hanging="2"/>
        <w:jc w:val="left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NOTA EXPLICATIVA – BF – BALANÇO FINANCEIRO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ind w:left="0" w:hanging="2"/>
        <w:rPr/>
      </w:pPr>
      <w:r w:rsidDel="00000000" w:rsidR="00000000" w:rsidRPr="00000000">
        <w:rPr>
          <w:rtl w:val="0"/>
        </w:rPr>
        <w:t xml:space="preserve">O Balanço Financeiro (BF) evidencia as receitas e despesas orçamentárias, bem como os ingressos e dispêndios extraorçamentários, conjugados com os saldos de caixa do exercício anterior e os que se transferem para o início do exercício seguinte.</w:t>
      </w:r>
    </w:p>
    <w:p w:rsidR="00000000" w:rsidDel="00000000" w:rsidP="00000000" w:rsidRDefault="00000000" w:rsidRPr="00000000" w14:paraId="000001A4">
      <w:pPr>
        <w:ind w:left="0" w:hanging="2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ind w:left="0" w:hanging="2"/>
        <w:jc w:val="left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Receitas Orçamentárias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Tabela 06 – Vinculadas e ordinárias</w:t>
      </w:r>
    </w:p>
    <w:p w:rsidR="00000000" w:rsidDel="00000000" w:rsidP="00000000" w:rsidRDefault="00000000" w:rsidRPr="00000000" w14:paraId="000001A8">
      <w:pPr>
        <w:ind w:left="0" w:hanging="2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                                                                                                                                                                                              R$ </w:t>
      </w:r>
    </w:p>
    <w:tbl>
      <w:tblPr>
        <w:tblStyle w:val="Table6"/>
        <w:tblW w:w="9210.0" w:type="dxa"/>
        <w:jc w:val="left"/>
        <w:tblInd w:w="-108.0" w:type="dxa"/>
        <w:tblLayout w:type="fixed"/>
        <w:tblLook w:val="0000"/>
      </w:tblPr>
      <w:tblGrid>
        <w:gridCol w:w="3208"/>
        <w:gridCol w:w="1258"/>
        <w:gridCol w:w="1501"/>
        <w:gridCol w:w="446"/>
        <w:gridCol w:w="1754"/>
        <w:gridCol w:w="1043"/>
        <w:tblGridChange w:id="0">
          <w:tblGrid>
            <w:gridCol w:w="3208"/>
            <w:gridCol w:w="1258"/>
            <w:gridCol w:w="1501"/>
            <w:gridCol w:w="446"/>
            <w:gridCol w:w="1754"/>
            <w:gridCol w:w="1043"/>
          </w:tblGrid>
        </w:tblGridChange>
      </w:tblGrid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A9">
            <w:pPr>
              <w:ind w:left="0" w:hanging="2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Especificação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1AA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AB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31/12/2023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1AC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1AD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31/12/2024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1AE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AH 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Vinculadas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0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71.392.904,87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2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ind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53.574.703,01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4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Deduções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6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-2.337.970,12     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8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ind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     -5.832,42  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A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6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Ordinárias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C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E">
            <w:pPr>
              <w:ind w:left="0" w:hanging="2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ind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C0">
            <w:pPr>
              <w:ind w:left="0" w:hanging="2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C1">
            <w:pPr>
              <w:ind w:left="0" w:hanging="2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1C2">
            <w:pPr>
              <w:ind w:left="0" w:hanging="2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C3">
            <w:pPr>
              <w:ind w:hanging="2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69.054.934,75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1C4">
            <w:pPr>
              <w:ind w:left="0" w:hanging="2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C5">
            <w:pPr>
              <w:ind w:hanging="2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53.568.870,59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1C6">
            <w:pPr>
              <w:ind w:left="0" w:hanging="2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-22,43%</w:t>
            </w:r>
          </w:p>
        </w:tc>
      </w:tr>
    </w:tbl>
    <w:p w:rsidR="00000000" w:rsidDel="00000000" w:rsidP="00000000" w:rsidRDefault="00000000" w:rsidRPr="00000000" w14:paraId="000001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left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Fonte: SIAFI 2023 e 2024</w:t>
      </w:r>
    </w:p>
    <w:p w:rsidR="00000000" w:rsidDel="00000000" w:rsidP="00000000" w:rsidRDefault="00000000" w:rsidRPr="00000000" w14:paraId="000001C8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ind w:left="0" w:hanging="2"/>
        <w:rPr/>
      </w:pPr>
      <w:r w:rsidDel="00000000" w:rsidR="00000000" w:rsidRPr="00000000">
        <w:rPr>
          <w:rtl w:val="0"/>
        </w:rPr>
        <w:t xml:space="preserve">Até o quarto trimestre, foram arrecadadas R$ 53.568.870,59 de receitas orçamentárias no exercício. Esses valores são compostos, principalmente, da remuneração dos recursos aplicados, receitas relacionadas à porcentagem dos incentivos fiscais destinados à SUDENE e 2% legais relativos desembolsos do FDNE.</w:t>
      </w:r>
    </w:p>
    <w:p w:rsidR="00000000" w:rsidDel="00000000" w:rsidP="00000000" w:rsidRDefault="00000000" w:rsidRPr="00000000" w14:paraId="000001C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Transferências Financeiras Recebidas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ind w:left="0" w:hanging="2"/>
        <w:rPr/>
      </w:pPr>
      <w:r w:rsidDel="00000000" w:rsidR="00000000" w:rsidRPr="00000000">
        <w:rPr>
          <w:rtl w:val="0"/>
        </w:rPr>
        <w:t xml:space="preserve">Receitas provenientes da transferência de recursos de fontes administradas pela STN à Sudene. O valor total foi de R$ 832.957.568,67. Esses recursos foram utilizados, principalmente, para atender a folha de pessoal, instrumentos finalísticos e liberação de recursos ao FDNE (solicitado na UG 533014 e repassado a  533009).</w:t>
      </w:r>
    </w:p>
    <w:p w:rsidR="00000000" w:rsidDel="00000000" w:rsidP="00000000" w:rsidRDefault="00000000" w:rsidRPr="00000000" w14:paraId="000001CE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Recebimentos Extraorçamentários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ind w:left="0" w:hanging="2"/>
        <w:rPr/>
      </w:pPr>
      <w:r w:rsidDel="00000000" w:rsidR="00000000" w:rsidRPr="00000000">
        <w:rPr>
          <w:rtl w:val="0"/>
        </w:rPr>
        <w:t xml:space="preserve">Refere-se à inscrição de restos a pagar para compensar as despesas orçamentárias registradas e que ainda não foram pagas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ind w:left="0" w:hanging="2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ind w:left="0" w:hanging="2"/>
        <w:jc w:val="left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Despesas Orçamentárias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ind w:left="0" w:hanging="2"/>
        <w:rPr/>
      </w:pPr>
      <w:r w:rsidDel="00000000" w:rsidR="00000000" w:rsidRPr="00000000">
        <w:rPr>
          <w:rtl w:val="0"/>
        </w:rPr>
        <w:t xml:space="preserve">Totalizaram R$ 57.168.403,42 no período. Essas despesas se referem, principalmente, a folha de pessoal, despesas administrativas e instrumentos finalísticos.</w:t>
      </w:r>
    </w:p>
    <w:p w:rsidR="00000000" w:rsidDel="00000000" w:rsidP="00000000" w:rsidRDefault="00000000" w:rsidRPr="00000000" w14:paraId="000001D6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Transferências Financeiras Concedidas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ind w:left="0" w:hanging="2"/>
        <w:rPr/>
      </w:pPr>
      <w:r w:rsidDel="00000000" w:rsidR="00000000" w:rsidRPr="00000000">
        <w:rPr>
          <w:rtl w:val="0"/>
        </w:rPr>
        <w:t xml:space="preserve">Total de R$ 794.901.762,58, principalmente relativo à liberação de recursos ao FDNE (solicitado na UG 533014 e repassado a  533009).</w:t>
      </w:r>
    </w:p>
    <w:p w:rsidR="00000000" w:rsidDel="00000000" w:rsidP="00000000" w:rsidRDefault="00000000" w:rsidRPr="00000000" w14:paraId="000001DA">
      <w:pPr>
        <w:ind w:left="0" w:hanging="2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ind w:left="0" w:hanging="2"/>
        <w:jc w:val="left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Saldo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ind w:left="0" w:hanging="2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ind w:left="0" w:hanging="2"/>
        <w:jc w:val="left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O saldo para o período seguinte foi de R$ 146.221.051,73.</w:t>
      </w:r>
    </w:p>
    <w:p w:rsidR="00000000" w:rsidDel="00000000" w:rsidP="00000000" w:rsidRDefault="00000000" w:rsidRPr="00000000" w14:paraId="000001DE">
      <w:pPr>
        <w:ind w:left="0" w:hanging="2"/>
        <w:jc w:val="left"/>
        <w:rPr/>
      </w:pPr>
      <w:bookmarkStart w:colFirst="0" w:colLast="0" w:name="_nd97e0bmh671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ind w:left="0" w:hanging="2"/>
        <w:jc w:val="left"/>
        <w:rPr/>
      </w:pPr>
      <w:bookmarkStart w:colFirst="0" w:colLast="0" w:name="_50z613jk04d8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ind w:left="0" w:hanging="2"/>
        <w:jc w:val="left"/>
        <w:rPr/>
      </w:pPr>
      <w:bookmarkStart w:colFirst="0" w:colLast="0" w:name="_ovzq6g13p2ll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ind w:left="0" w:hanging="2"/>
        <w:jc w:val="left"/>
        <w:rPr/>
      </w:pPr>
      <w:bookmarkStart w:colFirst="0" w:colLast="0" w:name="_57yshmdqgo7e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ind w:left="0" w:hanging="2"/>
        <w:jc w:val="left"/>
        <w:rPr/>
      </w:pPr>
      <w:bookmarkStart w:colFirst="0" w:colLast="0" w:name="_8p2jirgg0h1t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ind w:left="0" w:hanging="2"/>
        <w:jc w:val="left"/>
        <w:rPr/>
      </w:pPr>
      <w:bookmarkStart w:colFirst="0" w:colLast="0" w:name="_q5ubq7vmrgyl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ind w:left="0" w:hanging="2"/>
        <w:jc w:val="left"/>
        <w:rPr/>
      </w:pPr>
      <w:bookmarkStart w:colFirst="0" w:colLast="0" w:name="_go579naj78b0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ind w:left="0" w:hanging="2"/>
        <w:jc w:val="left"/>
        <w:rPr/>
      </w:pPr>
      <w:bookmarkStart w:colFirst="0" w:colLast="0" w:name="_kgfa1vjfpczg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ind w:left="0" w:hanging="2"/>
        <w:jc w:val="left"/>
        <w:rPr/>
      </w:pPr>
      <w:bookmarkStart w:colFirst="0" w:colLast="0" w:name="_5jeejsqj1vto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ind w:left="0" w:hanging="2"/>
        <w:jc w:val="left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NOTA EXPLICATIVA – DFC – DEMONSTRAÇÃO DOS FLUXOS DE CAIXA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ind w:left="0" w:hanging="2"/>
        <w:jc w:val="left"/>
        <w:rPr/>
      </w:pPr>
      <w:r w:rsidDel="00000000" w:rsidR="00000000" w:rsidRPr="00000000">
        <w:rPr>
          <w:rtl w:val="0"/>
        </w:rPr>
        <w:t xml:space="preserve">A Demonstração dos Fluxos de Caixa (DFC) apresenta as entradas e saídas de caixa e as classifica em fluxo operacional, de investimento e de financiamento.</w:t>
      </w:r>
    </w:p>
    <w:p w:rsidR="00000000" w:rsidDel="00000000" w:rsidP="00000000" w:rsidRDefault="00000000" w:rsidRPr="00000000" w14:paraId="000001EB">
      <w:pPr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Fluxos de caixa das operações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Ingressos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ind w:left="0" w:hanging="2"/>
        <w:rPr/>
      </w:pPr>
      <w:r w:rsidDel="00000000" w:rsidR="00000000" w:rsidRPr="00000000">
        <w:rPr>
          <w:rtl w:val="0"/>
        </w:rPr>
        <w:t xml:space="preserve">Os ingressos totais operacionais foram R$ 888.617.972,18. </w:t>
      </w:r>
    </w:p>
    <w:p w:rsidR="00000000" w:rsidDel="00000000" w:rsidP="00000000" w:rsidRDefault="00000000" w:rsidRPr="00000000" w14:paraId="000001F1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ind w:left="0" w:hanging="2"/>
        <w:rPr/>
      </w:pPr>
      <w:r w:rsidDel="00000000" w:rsidR="00000000" w:rsidRPr="00000000">
        <w:rPr>
          <w:rtl w:val="0"/>
        </w:rPr>
        <w:t xml:space="preserve">A principal origem dos ingressos foram derivados de transferências financeiras recebidas, no valor de R$ 832.957.568,67, incluindo recursos para pagamento da folha de pessoal e para liberação de instrumentos finalísticos com fonte do tesouro.</w:t>
      </w:r>
    </w:p>
    <w:p w:rsidR="00000000" w:rsidDel="00000000" w:rsidP="00000000" w:rsidRDefault="00000000" w:rsidRPr="00000000" w14:paraId="000001F3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ind w:left="0" w:hanging="2"/>
        <w:rPr>
          <w:u w:val="single"/>
        </w:rPr>
      </w:pPr>
      <w:r w:rsidDel="00000000" w:rsidR="00000000" w:rsidRPr="00000000">
        <w:rPr>
          <w:rtl w:val="0"/>
        </w:rPr>
        <w:t xml:space="preserve">A segunda receita de mais relevância é a de outras receitas derivadas e originárias, no montante de 34.503.009,04, relacionadas, notadamente, aos 2% das liberações do Fundo do Desenvolvimento do Nordeste (FDNE). Outras receitas com importância, são as derivadas do recebimento das parcelas dos incentivos fiscais (R$ 4.708.987,76) e da remuneração das disponibilidades/recursos, relativo a fontes próprias, aplicados no Tesouro Nacional (R$ 14.356.873,79).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ind w:left="0" w:hanging="2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Desembolsos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ind w:left="0" w:hanging="2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As saídas de recursos operacionais totalizaram R$ 877.417.134,94. Parcela desse montante é relacionada à Pessoal e Demais despesas - incluindo administrativas, sendo a maior parte derivada transferências concedidas, principalmente de recursos do tesouro ao FDNE, após devida solicitação na UG da SUDENE.</w:t>
      </w:r>
    </w:p>
    <w:p w:rsidR="00000000" w:rsidDel="00000000" w:rsidP="00000000" w:rsidRDefault="00000000" w:rsidRPr="00000000" w14:paraId="000001F9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Fluxos de caixa dos investimentos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Ingressos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ind w:hanging="2"/>
        <w:rPr/>
      </w:pPr>
      <w:r w:rsidDel="00000000" w:rsidR="00000000" w:rsidRPr="00000000">
        <w:rPr>
          <w:rtl w:val="0"/>
        </w:rPr>
        <w:t xml:space="preserve">Sem registros de ingressos no período.</w:t>
      </w:r>
    </w:p>
    <w:p w:rsidR="00000000" w:rsidDel="00000000" w:rsidP="00000000" w:rsidRDefault="00000000" w:rsidRPr="00000000" w14:paraId="00000200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Desembolsos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ind w:hanging="2"/>
        <w:rPr/>
      </w:pPr>
      <w:r w:rsidDel="00000000" w:rsidR="00000000" w:rsidRPr="00000000">
        <w:rPr>
          <w:rtl w:val="0"/>
        </w:rPr>
        <w:t xml:space="preserve">Pagamento de restos a pagar não processados no montante de R</w:t>
      </w:r>
      <w:r w:rsidDel="00000000" w:rsidR="00000000" w:rsidRPr="00000000">
        <w:rPr>
          <w:rtl w:val="0"/>
        </w:rPr>
        <w:t xml:space="preserve">$ </w:t>
      </w:r>
      <w:r w:rsidDel="00000000" w:rsidR="00000000" w:rsidRPr="00000000">
        <w:rPr>
          <w:rtl w:val="0"/>
        </w:rPr>
        <w:t xml:space="preserve">24.878,80 para aquisição de ativo não circulante.</w:t>
      </w:r>
    </w:p>
    <w:p w:rsidR="00000000" w:rsidDel="00000000" w:rsidP="00000000" w:rsidRDefault="00000000" w:rsidRPr="00000000" w14:paraId="00000204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ind w:left="0" w:hanging="2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Fluxos de caixa dos Financiamentos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ind w:hanging="2"/>
        <w:rPr/>
      </w:pPr>
      <w:r w:rsidDel="00000000" w:rsidR="00000000" w:rsidRPr="00000000">
        <w:rPr>
          <w:rtl w:val="0"/>
        </w:rPr>
        <w:t xml:space="preserve">Sem registros de fluxos no período.</w:t>
      </w:r>
    </w:p>
    <w:p w:rsidR="00000000" w:rsidDel="00000000" w:rsidP="00000000" w:rsidRDefault="00000000" w:rsidRPr="00000000" w14:paraId="00000209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Geração Líquida de Caixa e Equivalente de Caixa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ind w:left="0" w:hanging="2"/>
        <w:jc w:val="left"/>
        <w:rPr/>
      </w:pPr>
      <w:r w:rsidDel="00000000" w:rsidR="00000000" w:rsidRPr="00000000">
        <w:rPr>
          <w:rtl w:val="0"/>
        </w:rPr>
        <w:t xml:space="preserve">No exercício de 2024, até o quarto trimestre, foram gerados R$ 11.175.958,44 líquidos de caixa e equivalentes de caixa.</w:t>
      </w:r>
    </w:p>
    <w:sectPr>
      <w:headerReference r:id="rId6" w:type="default"/>
      <w:footerReference r:id="rId7" w:type="defaul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1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D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ind w:left="0" w:hanging="2"/>
      <w:jc w:val="left"/>
      <w:rPr>
        <w:color w:val="4f81bd"/>
      </w:rPr>
    </w:pPr>
    <w:r w:rsidDel="00000000" w:rsidR="00000000" w:rsidRPr="00000000">
      <w:rPr>
        <w:rtl w:val="0"/>
      </w:rPr>
    </w:r>
  </w:p>
  <w:tbl>
    <w:tblPr>
      <w:tblStyle w:val="Table7"/>
      <w:tblW w:w="9286.0" w:type="dxa"/>
      <w:jc w:val="left"/>
      <w:tblInd w:w="-108.0" w:type="dxa"/>
      <w:tblLayout w:type="fixed"/>
      <w:tblLook w:val="0000"/>
    </w:tblPr>
    <w:tblGrid>
      <w:gridCol w:w="2025"/>
      <w:gridCol w:w="7261"/>
      <w:tblGridChange w:id="0">
        <w:tblGrid>
          <w:gridCol w:w="2025"/>
          <w:gridCol w:w="7261"/>
        </w:tblGrid>
      </w:tblGridChange>
    </w:tblGrid>
    <w:tr>
      <w:trPr>
        <w:cantSplit w:val="0"/>
        <w:tblHeader w:val="0"/>
      </w:trPr>
      <w:tc>
        <w:tcPr>
          <w:tcBorders>
            <w:bottom w:color="000000" w:space="0" w:sz="4" w:val="single"/>
          </w:tcBorders>
        </w:tcPr>
        <w:p w:rsidR="00000000" w:rsidDel="00000000" w:rsidP="00000000" w:rsidRDefault="00000000" w:rsidRPr="00000000" w14:paraId="0000020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40" w:lineRule="auto"/>
            <w:ind w:left="0" w:hanging="2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114300" distR="114300">
                <wp:extent cx="1148715" cy="53911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715" cy="5391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</w:tcPr>
        <w:p w:rsidR="00000000" w:rsidDel="00000000" w:rsidP="00000000" w:rsidRDefault="00000000" w:rsidRPr="00000000" w14:paraId="0000020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40" w:lineRule="auto"/>
            <w:ind w:left="0" w:hanging="2"/>
            <w:rPr>
              <w:color w:val="000000"/>
              <w:sz w:val="16"/>
              <w:szCs w:val="16"/>
            </w:rPr>
          </w:pPr>
          <w:r w:rsidDel="00000000" w:rsidR="00000000" w:rsidRPr="00000000">
            <w:rPr>
              <w:color w:val="000000"/>
              <w:sz w:val="16"/>
              <w:szCs w:val="16"/>
              <w:rtl w:val="0"/>
            </w:rPr>
            <w:t xml:space="preserve">Ministério d</w:t>
          </w:r>
          <w:r w:rsidDel="00000000" w:rsidR="00000000" w:rsidRPr="00000000">
            <w:rPr>
              <w:sz w:val="16"/>
              <w:szCs w:val="16"/>
              <w:rtl w:val="0"/>
            </w:rPr>
            <w:t xml:space="preserve">o Desenvolvimento Regional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21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40" w:lineRule="auto"/>
            <w:ind w:left="0" w:hanging="2"/>
            <w:rPr>
              <w:color w:val="000000"/>
              <w:sz w:val="16"/>
              <w:szCs w:val="16"/>
            </w:rPr>
          </w:pPr>
          <w:r w:rsidDel="00000000" w:rsidR="00000000" w:rsidRPr="00000000">
            <w:rPr>
              <w:color w:val="000000"/>
              <w:sz w:val="16"/>
              <w:szCs w:val="16"/>
              <w:rtl w:val="0"/>
            </w:rPr>
            <w:t xml:space="preserve">Superintendência do Desenvolvimento do Nordeste – Sudene</w:t>
          </w:r>
        </w:p>
        <w:p w:rsidR="00000000" w:rsidDel="00000000" w:rsidP="00000000" w:rsidRDefault="00000000" w:rsidRPr="00000000" w14:paraId="0000021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40" w:lineRule="auto"/>
            <w:ind w:left="0" w:hanging="2"/>
            <w:rPr>
              <w:color w:val="000000"/>
              <w:sz w:val="16"/>
              <w:szCs w:val="16"/>
            </w:rPr>
          </w:pPr>
          <w:r w:rsidDel="00000000" w:rsidR="00000000" w:rsidRPr="00000000">
            <w:rPr>
              <w:color w:val="000000"/>
              <w:sz w:val="16"/>
              <w:szCs w:val="16"/>
              <w:rtl w:val="0"/>
            </w:rPr>
            <w:t xml:space="preserve">Diretoria de Administração</w:t>
          </w:r>
        </w:p>
        <w:p w:rsidR="00000000" w:rsidDel="00000000" w:rsidP="00000000" w:rsidRDefault="00000000" w:rsidRPr="00000000" w14:paraId="0000021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40" w:lineRule="auto"/>
            <w:ind w:left="0" w:hanging="2"/>
            <w:rPr>
              <w:color w:val="000000"/>
            </w:rPr>
          </w:pPr>
          <w:r w:rsidDel="00000000" w:rsidR="00000000" w:rsidRPr="00000000">
            <w:rPr>
              <w:color w:val="000000"/>
              <w:sz w:val="16"/>
              <w:szCs w:val="16"/>
              <w:rtl w:val="0"/>
            </w:rPr>
            <w:t xml:space="preserve">Coordenação de Orçamento</w:t>
          </w:r>
          <w:r w:rsidDel="00000000" w:rsidR="00000000" w:rsidRPr="00000000">
            <w:rPr>
              <w:sz w:val="16"/>
              <w:szCs w:val="16"/>
              <w:rtl w:val="0"/>
            </w:rPr>
            <w:t xml:space="preserve">, </w:t>
          </w:r>
          <w:r w:rsidDel="00000000" w:rsidR="00000000" w:rsidRPr="00000000">
            <w:rPr>
              <w:color w:val="000000"/>
              <w:sz w:val="16"/>
              <w:szCs w:val="16"/>
              <w:rtl w:val="0"/>
            </w:rPr>
            <w:t xml:space="preserve">Contabilidade e </w:t>
          </w:r>
          <w:r w:rsidDel="00000000" w:rsidR="00000000" w:rsidRPr="00000000">
            <w:rPr>
              <w:sz w:val="16"/>
              <w:szCs w:val="16"/>
              <w:rtl w:val="0"/>
            </w:rPr>
            <w:t xml:space="preserve">Finanças </w:t>
          </w:r>
          <w:r w:rsidDel="00000000" w:rsidR="00000000" w:rsidRPr="00000000">
            <w:rPr>
              <w:color w:val="000000"/>
              <w:sz w:val="16"/>
              <w:szCs w:val="16"/>
              <w:rtl w:val="0"/>
            </w:rPr>
            <w:t xml:space="preserve">– COCF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gridSpan w:val="2"/>
          <w:tcBorders>
            <w:top w:color="000000" w:space="0" w:sz="4" w:val="single"/>
            <w:bottom w:color="000000" w:space="0" w:sz="4" w:val="single"/>
          </w:tcBorders>
        </w:tcPr>
        <w:p w:rsidR="00000000" w:rsidDel="00000000" w:rsidP="00000000" w:rsidRDefault="00000000" w:rsidRPr="00000000" w14:paraId="0000021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5"/>
              <w:tab w:val="left" w:leader="none" w:pos="6901"/>
            </w:tabs>
            <w:spacing w:line="240" w:lineRule="auto"/>
            <w:ind w:left="0" w:hanging="2"/>
            <w:jc w:val="left"/>
            <w:rPr/>
          </w:pPr>
          <w:r w:rsidDel="00000000" w:rsidR="00000000" w:rsidRPr="00000000">
            <w:rPr>
              <w:b w:val="1"/>
              <w:rtl w:val="0"/>
            </w:rPr>
            <w:tab/>
            <w:t xml:space="preserve"> Nota Explicativa do 4T/2024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2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-2" w:firstLine="0"/>
      <w:rPr>
        <w:color w:val="000000"/>
        <w:sz w:val="4"/>
        <w:szCs w:val="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pt-BR"/>
      </w:rPr>
    </w:rPrDefault>
    <w:pPrDefault>
      <w:pPr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ind w:left="0" w:hanging="1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